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9065F" w14:textId="77777777" w:rsidR="000B390E" w:rsidRPr="003814D7" w:rsidRDefault="000B390E" w:rsidP="000B390E">
      <w:pPr>
        <w:spacing w:after="60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ANEXO NÚM. 5</w:t>
      </w:r>
    </w:p>
    <w:p w14:paraId="372667DE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MODELO DE PROPUESTA ECONÓMICA Y DE REFERENCIAS QUÉ VALORACIÓN DEPENDE DE FÓRMULAS AUTOMÁTICAS</w:t>
      </w:r>
    </w:p>
    <w:p w14:paraId="576B8524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</w:p>
    <w:p w14:paraId="52DF9995" w14:textId="469B9112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 xml:space="preserve">LOTE </w:t>
      </w:r>
      <w:r w:rsidR="009C262C">
        <w:rPr>
          <w:rFonts w:ascii="Aptos" w:hAnsi="Aptos" w:cs="Calibri"/>
          <w:b/>
          <w:sz w:val="22"/>
          <w:szCs w:val="22"/>
          <w:u w:val="single"/>
          <w:lang w:val="es-ES"/>
        </w:rPr>
        <w:t>3</w:t>
      </w:r>
    </w:p>
    <w:p w14:paraId="6713CB5C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lang w:val="es-ES"/>
        </w:rPr>
      </w:pPr>
    </w:p>
    <w:p w14:paraId="7D6D6747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Sr. .............................. con residencia en ......................................... calle...................................... núm. ................ enterado del anuncio publicado en el DOUE y en el Perfil del contratante de PUMSA, y de las condiciones y requisitos que se exigen para la adjudicación del contrato ....................................", se compromete en nombre (propio o de la empresa que representa) a realizarlas con estricta sujeción a las siguientes condiciones: </w:t>
      </w:r>
    </w:p>
    <w:p w14:paraId="69200D58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0DACE13B" w14:textId="77777777" w:rsidR="000B390E" w:rsidRPr="003814D7" w:rsidRDefault="000B390E" w:rsidP="000B390E">
      <w:pPr>
        <w:pStyle w:val="Sangradetextonormal"/>
        <w:ind w:right="-284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A) OFERTA ECONÓMICA:</w:t>
      </w:r>
    </w:p>
    <w:p w14:paraId="3C495C5E" w14:textId="77777777" w:rsidR="000B390E" w:rsidRPr="003814D7" w:rsidRDefault="000B390E" w:rsidP="000B390E">
      <w:pPr>
        <w:pStyle w:val="Sangradetextonormal"/>
        <w:ind w:left="360" w:right="-284" w:firstLine="0"/>
        <w:rPr>
          <w:rFonts w:ascii="Aptos" w:hAnsi="Aptos" w:cs="Calibri"/>
          <w:sz w:val="22"/>
          <w:szCs w:val="22"/>
          <w:lang w:val="es-ES"/>
        </w:rPr>
      </w:pPr>
    </w:p>
    <w:p w14:paraId="65694402" w14:textId="77777777" w:rsidR="000B390E" w:rsidRPr="003814D7" w:rsidRDefault="000B390E" w:rsidP="000B390E">
      <w:pPr>
        <w:pStyle w:val="Sangradetextonormal"/>
        <w:numPr>
          <w:ilvl w:val="0"/>
          <w:numId w:val="1"/>
        </w:numPr>
        <w:tabs>
          <w:tab w:val="left" w:pos="142"/>
        </w:tabs>
        <w:ind w:right="-284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Porcentaje de baja ofrecido a aplicar a los precios unitarios de la partida incluida en el apartado B.2.1 del Cuadro de Características del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PCAP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 (precios unitarios del banco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BEDEC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>): _____% (con dos decimales)</w:t>
      </w:r>
    </w:p>
    <w:p w14:paraId="1262F3F8" w14:textId="77777777" w:rsidR="000B390E" w:rsidRPr="003814D7" w:rsidRDefault="000B390E" w:rsidP="000B390E">
      <w:pPr>
        <w:pStyle w:val="Sangradetextonormal"/>
        <w:tabs>
          <w:tab w:val="left" w:pos="142"/>
        </w:tabs>
        <w:ind w:left="720" w:right="-284" w:firstLine="0"/>
        <w:rPr>
          <w:rFonts w:ascii="Aptos" w:hAnsi="Aptos" w:cs="Calibri"/>
          <w:iCs/>
          <w:sz w:val="22"/>
          <w:szCs w:val="22"/>
          <w:lang w:val="es-ES"/>
        </w:rPr>
      </w:pPr>
    </w:p>
    <w:p w14:paraId="79363281" w14:textId="77777777" w:rsidR="000B390E" w:rsidRPr="003814D7" w:rsidRDefault="000B390E" w:rsidP="000B390E">
      <w:pPr>
        <w:pStyle w:val="Sangradetextonormal"/>
        <w:numPr>
          <w:ilvl w:val="0"/>
          <w:numId w:val="1"/>
        </w:numPr>
        <w:tabs>
          <w:tab w:val="left" w:pos="142"/>
        </w:tabs>
        <w:ind w:right="-284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Porcentaje de baja ofrecido a aplicar a los precios unitarios de la partida incluida en el apartado B.2.2 del Cuadro de Características del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PCAP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 (precios unitarios introducidos en el Anexo 2.B del Pliego de Prescripciones Técnicas): _____% (con dos decimales)</w:t>
      </w:r>
    </w:p>
    <w:p w14:paraId="2F3C6EA8" w14:textId="77777777" w:rsidR="000B390E" w:rsidRPr="003814D7" w:rsidRDefault="000B390E" w:rsidP="000B390E">
      <w:pPr>
        <w:pStyle w:val="Sangradetextonormal"/>
        <w:ind w:left="360" w:right="-284" w:firstLine="0"/>
        <w:rPr>
          <w:rFonts w:ascii="Aptos" w:hAnsi="Aptos" w:cs="Calibri"/>
          <w:sz w:val="22"/>
          <w:szCs w:val="22"/>
          <w:lang w:val="es-ES"/>
        </w:rPr>
      </w:pPr>
    </w:p>
    <w:p w14:paraId="3C6DFD2C" w14:textId="77777777" w:rsidR="000B390E" w:rsidRPr="003814D7" w:rsidRDefault="000B390E" w:rsidP="000B390E">
      <w:pPr>
        <w:pStyle w:val="Sangradetextonormal"/>
        <w:ind w:left="0" w:right="-284" w:firstLine="0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B) OTROS CRITERIOS EVALUABLES AUTOMÁTICAMENTE:</w:t>
      </w:r>
    </w:p>
    <w:p w14:paraId="6296482A" w14:textId="77777777" w:rsidR="000B390E" w:rsidRPr="003814D7" w:rsidRDefault="000B390E" w:rsidP="000B390E">
      <w:pPr>
        <w:pStyle w:val="Sangradetextonormal"/>
        <w:ind w:left="708" w:right="-284" w:firstLine="708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ab/>
      </w:r>
    </w:p>
    <w:p w14:paraId="3A5B6287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b/>
          <w:bCs/>
          <w:i/>
          <w:sz w:val="22"/>
          <w:szCs w:val="22"/>
          <w:lang w:val="es-ES"/>
        </w:rPr>
      </w:pPr>
      <w:r w:rsidRPr="003814D7">
        <w:rPr>
          <w:rFonts w:ascii="Aptos" w:hAnsi="Aptos" w:cs="Calibri"/>
          <w:b/>
          <w:bCs/>
          <w:i/>
          <w:sz w:val="22"/>
          <w:szCs w:val="22"/>
          <w:lang w:val="es-ES"/>
        </w:rPr>
        <w:t>B.1) Ampliación del plazo de garantía</w:t>
      </w:r>
    </w:p>
    <w:p w14:paraId="5EDFA4C4" w14:textId="77777777" w:rsidR="000B390E" w:rsidRPr="003814D7" w:rsidRDefault="000B390E" w:rsidP="000B390E">
      <w:pPr>
        <w:pStyle w:val="Sangradetextonormal"/>
        <w:rPr>
          <w:rFonts w:ascii="Aptos" w:hAnsi="Aptos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381"/>
        <w:gridCol w:w="1418"/>
      </w:tblGrid>
      <w:tr w:rsidR="000B390E" w:rsidRPr="003814D7" w14:paraId="7033EAA3" w14:textId="77777777" w:rsidTr="002E637A">
        <w:trPr>
          <w:jc w:val="center"/>
        </w:trPr>
        <w:tc>
          <w:tcPr>
            <w:tcW w:w="5381" w:type="dxa"/>
            <w:shd w:val="clear" w:color="auto" w:fill="E5B8B7"/>
            <w:vAlign w:val="center"/>
          </w:tcPr>
          <w:p w14:paraId="44C0D73C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  <w:t>Concepto</w:t>
            </w:r>
          </w:p>
        </w:tc>
        <w:tc>
          <w:tcPr>
            <w:tcW w:w="1418" w:type="dxa"/>
            <w:shd w:val="clear" w:color="auto" w:fill="E5B8B7"/>
          </w:tcPr>
          <w:p w14:paraId="350DDF15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  <w:t>Marcar con una X</w:t>
            </w:r>
          </w:p>
        </w:tc>
      </w:tr>
      <w:tr w:rsidR="000B390E" w:rsidRPr="003814D7" w14:paraId="393B6777" w14:textId="77777777" w:rsidTr="002E637A">
        <w:trPr>
          <w:jc w:val="center"/>
        </w:trPr>
        <w:tc>
          <w:tcPr>
            <w:tcW w:w="5381" w:type="dxa"/>
          </w:tcPr>
          <w:p w14:paraId="12BD7065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un (1) mes</w:t>
            </w:r>
          </w:p>
        </w:tc>
        <w:tc>
          <w:tcPr>
            <w:tcW w:w="1418" w:type="dxa"/>
          </w:tcPr>
          <w:p w14:paraId="088D8BDE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677A14D8" w14:textId="77777777" w:rsidTr="002E637A">
        <w:trPr>
          <w:jc w:val="center"/>
        </w:trPr>
        <w:tc>
          <w:tcPr>
            <w:tcW w:w="5381" w:type="dxa"/>
          </w:tcPr>
          <w:p w14:paraId="36FD135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dos (2) meses</w:t>
            </w:r>
          </w:p>
        </w:tc>
        <w:tc>
          <w:tcPr>
            <w:tcW w:w="1418" w:type="dxa"/>
          </w:tcPr>
          <w:p w14:paraId="25DB41DA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7B1ACA16" w14:textId="77777777" w:rsidTr="002E637A">
        <w:trPr>
          <w:jc w:val="center"/>
        </w:trPr>
        <w:tc>
          <w:tcPr>
            <w:tcW w:w="5381" w:type="dxa"/>
          </w:tcPr>
          <w:p w14:paraId="517E9BB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tres (3) meses</w:t>
            </w:r>
          </w:p>
        </w:tc>
        <w:tc>
          <w:tcPr>
            <w:tcW w:w="1418" w:type="dxa"/>
          </w:tcPr>
          <w:p w14:paraId="01281E30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408E1BE5" w14:textId="77777777" w:rsidTr="002E637A">
        <w:trPr>
          <w:jc w:val="center"/>
        </w:trPr>
        <w:tc>
          <w:tcPr>
            <w:tcW w:w="5381" w:type="dxa"/>
          </w:tcPr>
          <w:p w14:paraId="4DC7A61A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cuatro (4) meses</w:t>
            </w:r>
          </w:p>
        </w:tc>
        <w:tc>
          <w:tcPr>
            <w:tcW w:w="1418" w:type="dxa"/>
          </w:tcPr>
          <w:p w14:paraId="7F3C1F6A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35F1D98" w14:textId="77777777" w:rsidTr="002E637A">
        <w:trPr>
          <w:jc w:val="center"/>
        </w:trPr>
        <w:tc>
          <w:tcPr>
            <w:tcW w:w="5381" w:type="dxa"/>
          </w:tcPr>
          <w:p w14:paraId="26D0F9BC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cinco (5) meses</w:t>
            </w:r>
          </w:p>
        </w:tc>
        <w:tc>
          <w:tcPr>
            <w:tcW w:w="1418" w:type="dxa"/>
          </w:tcPr>
          <w:p w14:paraId="3A095719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C4842CA" w14:textId="77777777" w:rsidTr="002E637A">
        <w:trPr>
          <w:jc w:val="center"/>
        </w:trPr>
        <w:tc>
          <w:tcPr>
            <w:tcW w:w="5381" w:type="dxa"/>
          </w:tcPr>
          <w:p w14:paraId="42FF1CF2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seis (6) meses</w:t>
            </w:r>
          </w:p>
        </w:tc>
        <w:tc>
          <w:tcPr>
            <w:tcW w:w="1418" w:type="dxa"/>
          </w:tcPr>
          <w:p w14:paraId="500649C1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DC32C44" w14:textId="77777777" w:rsidTr="002E637A">
        <w:trPr>
          <w:jc w:val="center"/>
        </w:trPr>
        <w:tc>
          <w:tcPr>
            <w:tcW w:w="5381" w:type="dxa"/>
          </w:tcPr>
          <w:p w14:paraId="1B36F269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siete (7) meses</w:t>
            </w:r>
          </w:p>
        </w:tc>
        <w:tc>
          <w:tcPr>
            <w:tcW w:w="1418" w:type="dxa"/>
          </w:tcPr>
          <w:p w14:paraId="25FE745F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4B6C93D" w14:textId="77777777" w:rsidTr="002E637A">
        <w:trPr>
          <w:jc w:val="center"/>
        </w:trPr>
        <w:tc>
          <w:tcPr>
            <w:tcW w:w="5381" w:type="dxa"/>
          </w:tcPr>
          <w:p w14:paraId="3385F8AE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ocho (8) meses</w:t>
            </w:r>
          </w:p>
        </w:tc>
        <w:tc>
          <w:tcPr>
            <w:tcW w:w="1418" w:type="dxa"/>
          </w:tcPr>
          <w:p w14:paraId="35A20C18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68D1BDFF" w14:textId="77777777" w:rsidTr="002E637A">
        <w:trPr>
          <w:jc w:val="center"/>
        </w:trPr>
        <w:tc>
          <w:tcPr>
            <w:tcW w:w="5381" w:type="dxa"/>
          </w:tcPr>
          <w:p w14:paraId="1352FECE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nueve (9) meses</w:t>
            </w:r>
          </w:p>
        </w:tc>
        <w:tc>
          <w:tcPr>
            <w:tcW w:w="1418" w:type="dxa"/>
          </w:tcPr>
          <w:p w14:paraId="7205EFE9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59518322" w14:textId="77777777" w:rsidTr="002E637A">
        <w:trPr>
          <w:jc w:val="center"/>
        </w:trPr>
        <w:tc>
          <w:tcPr>
            <w:tcW w:w="5381" w:type="dxa"/>
          </w:tcPr>
          <w:p w14:paraId="5172BF52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diez (10) meses</w:t>
            </w:r>
          </w:p>
        </w:tc>
        <w:tc>
          <w:tcPr>
            <w:tcW w:w="1418" w:type="dxa"/>
          </w:tcPr>
          <w:p w14:paraId="3A2284E8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EDBA5A8" w14:textId="77777777" w:rsidTr="002E637A">
        <w:trPr>
          <w:jc w:val="center"/>
        </w:trPr>
        <w:tc>
          <w:tcPr>
            <w:tcW w:w="5381" w:type="dxa"/>
          </w:tcPr>
          <w:p w14:paraId="27209ACD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once (11) meses</w:t>
            </w:r>
          </w:p>
        </w:tc>
        <w:tc>
          <w:tcPr>
            <w:tcW w:w="1418" w:type="dxa"/>
          </w:tcPr>
          <w:p w14:paraId="28DF7015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1685E89" w14:textId="77777777" w:rsidTr="002E637A">
        <w:trPr>
          <w:jc w:val="center"/>
        </w:trPr>
        <w:tc>
          <w:tcPr>
            <w:tcW w:w="5381" w:type="dxa"/>
          </w:tcPr>
          <w:p w14:paraId="6B6ED13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doce (12) meses</w:t>
            </w:r>
          </w:p>
        </w:tc>
        <w:tc>
          <w:tcPr>
            <w:tcW w:w="1418" w:type="dxa"/>
          </w:tcPr>
          <w:p w14:paraId="155CBA6B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</w:tbl>
    <w:p w14:paraId="3BFF6212" w14:textId="77777777" w:rsidR="000B390E" w:rsidRPr="003814D7" w:rsidRDefault="000B390E" w:rsidP="000B390E">
      <w:pPr>
        <w:pStyle w:val="Sangradetextonormal"/>
        <w:rPr>
          <w:rFonts w:ascii="Aptos" w:hAnsi="Aptos" w:cs="Calibri"/>
          <w:b/>
          <w:bCs/>
          <w:i/>
          <w:sz w:val="22"/>
          <w:szCs w:val="22"/>
          <w:lang w:val="es-ES"/>
        </w:rPr>
      </w:pPr>
    </w:p>
    <w:p w14:paraId="4F621E23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b/>
          <w:bCs/>
          <w:i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En ningún caso, se podrá ofrecer un plazo de ampliación superior a 12 meses adicionales. </w:t>
      </w:r>
    </w:p>
    <w:p w14:paraId="022AF724" w14:textId="77777777" w:rsidR="000B390E" w:rsidRPr="003814D7" w:rsidRDefault="000B390E" w:rsidP="000B390E">
      <w:pPr>
        <w:pStyle w:val="Sangradetextonormal"/>
        <w:rPr>
          <w:rFonts w:ascii="Aptos" w:hAnsi="Aptos" w:cs="Calibri"/>
          <w:sz w:val="22"/>
          <w:szCs w:val="22"/>
          <w:lang w:val="es-ES"/>
        </w:rPr>
      </w:pPr>
    </w:p>
    <w:p w14:paraId="4557CC10" w14:textId="77777777" w:rsidR="000B390E" w:rsidRPr="003814D7" w:rsidRDefault="000B390E" w:rsidP="000B390E">
      <w:pPr>
        <w:pStyle w:val="Sangradetextonormal"/>
        <w:ind w:left="0" w:firstLine="0"/>
        <w:rPr>
          <w:rFonts w:ascii="Calibri" w:hAnsi="Calibri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Se declara expresamente que conoce y acepta íntegramente el Pliego de Cláusulas Particulares y Prescripciones Técnicas de este procedimiento de contratación, a los que se somete en su totalidad y que son base para esta contratación.</w:t>
      </w:r>
    </w:p>
    <w:p w14:paraId="543C4D31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286A374E" w14:textId="77777777" w:rsidR="000B390E" w:rsidRPr="003814D7" w:rsidRDefault="000B390E" w:rsidP="000B390E">
      <w:pPr>
        <w:pStyle w:val="Sangradetextonormal"/>
        <w:ind w:left="0" w:firstLine="0"/>
        <w:jc w:val="center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i/>
          <w:sz w:val="22"/>
          <w:szCs w:val="22"/>
          <w:lang w:val="es-ES"/>
        </w:rPr>
        <w:t>Plazo de validez de la oferta............................ 6 meses</w:t>
      </w:r>
    </w:p>
    <w:p w14:paraId="0DD87166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iCs/>
          <w:sz w:val="22"/>
          <w:szCs w:val="22"/>
          <w:lang w:val="es-ES"/>
        </w:rPr>
      </w:pPr>
    </w:p>
    <w:p w14:paraId="43830329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>(Lugar, fecha, firma)</w:t>
      </w:r>
    </w:p>
    <w:p w14:paraId="579114DD" w14:textId="77777777" w:rsidR="0067535D" w:rsidRDefault="0067535D"/>
    <w:sectPr w:rsidR="006753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D80E45"/>
    <w:multiLevelType w:val="hybridMultilevel"/>
    <w:tmpl w:val="5622BDCA"/>
    <w:lvl w:ilvl="0" w:tplc="737022AC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66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90E"/>
    <w:rsid w:val="000B390E"/>
    <w:rsid w:val="00246A97"/>
    <w:rsid w:val="0067535D"/>
    <w:rsid w:val="008D51B0"/>
    <w:rsid w:val="009C262C"/>
    <w:rsid w:val="00E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E0BE"/>
  <w15:chartTrackingRefBased/>
  <w15:docId w15:val="{E0D65C2F-06BF-4447-A9B9-10E95E25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90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B39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39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39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39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39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B39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39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39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39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39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39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39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390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390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B390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390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390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390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B39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B39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39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B39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B39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B390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B390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B390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39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390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B390E"/>
    <w:rPr>
      <w:b/>
      <w:bCs/>
      <w:smallCaps/>
      <w:color w:val="0F4761" w:themeColor="accent1" w:themeShade="BF"/>
      <w:spacing w:val="5"/>
    </w:rPr>
  </w:style>
  <w:style w:type="paragraph" w:styleId="Sangradetextonormal">
    <w:name w:val="Body Text Indent"/>
    <w:basedOn w:val="Normal"/>
    <w:link w:val="SangradetextonormalCar"/>
    <w:rsid w:val="000B390E"/>
    <w:pPr>
      <w:ind w:left="284" w:hanging="284"/>
    </w:pPr>
    <w:rPr>
      <w:rFonts w:ascii="Arial Narrow" w:hAnsi="Arial Narrow"/>
    </w:rPr>
  </w:style>
  <w:style w:type="character" w:customStyle="1" w:styleId="SangradetextonormalCar">
    <w:name w:val="Sangría de texto normal Car"/>
    <w:basedOn w:val="Fuentedeprrafopredeter"/>
    <w:link w:val="Sangradetextonormal"/>
    <w:rsid w:val="000B390E"/>
    <w:rPr>
      <w:rFonts w:ascii="Arial Narrow" w:eastAsia="Times New Roman" w:hAnsi="Arial Narrow" w:cs="Times New Roman"/>
      <w:sz w:val="20"/>
      <w:szCs w:val="20"/>
      <w:lang w:val="ca-ES" w:eastAsia="es-ES"/>
    </w:rPr>
  </w:style>
  <w:style w:type="table" w:styleId="Tablaconcuadrcula">
    <w:name w:val="Table Grid"/>
    <w:basedOn w:val="Tablanormal"/>
    <w:uiPriority w:val="59"/>
    <w:rsid w:val="000B39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Martinez</dc:creator>
  <cp:keywords/>
  <dc:description/>
  <cp:lastModifiedBy>Isabel Martinez</cp:lastModifiedBy>
  <cp:revision>2</cp:revision>
  <dcterms:created xsi:type="dcterms:W3CDTF">2026-02-27T12:06:00Z</dcterms:created>
  <dcterms:modified xsi:type="dcterms:W3CDTF">2026-02-27T12:06:00Z</dcterms:modified>
</cp:coreProperties>
</file>